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57" w:rsidRDefault="00854071">
      <w:pPr>
        <w:tabs>
          <w:tab w:val="left" w:pos="4860"/>
        </w:tabs>
        <w:ind w:hanging="180"/>
        <w:jc w:val="center"/>
        <w:rPr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5pt;visibility:visible;mso-wrap-style:square">
            <v:imagedata r:id="rId7" o:title=""/>
          </v:shape>
        </w:pict>
      </w:r>
    </w:p>
    <w:p w:rsidR="00850257" w:rsidRDefault="00850257">
      <w:pPr>
        <w:ind w:left="180"/>
        <w:jc w:val="center"/>
        <w:rPr>
          <w:sz w:val="16"/>
          <w:szCs w:val="16"/>
        </w:rPr>
      </w:pPr>
    </w:p>
    <w:p w:rsidR="00850257" w:rsidRDefault="00AF5BF7">
      <w:pPr>
        <w:pStyle w:val="2"/>
      </w:pPr>
      <w:r>
        <w:t>АДМИНИСТРАЦИЯ ГОРОДСКОГО ОКРУГА</w:t>
      </w:r>
    </w:p>
    <w:p w:rsidR="00850257" w:rsidRDefault="00AF5BF7">
      <w:pPr>
        <w:pStyle w:val="2"/>
      </w:pPr>
      <w:r>
        <w:t>ГОРОД ВЫКСА НИЖЕГОРОДСКОЙ ОБЛАСТИ</w:t>
      </w:r>
    </w:p>
    <w:p w:rsidR="00850257" w:rsidRDefault="00850257">
      <w:pPr>
        <w:tabs>
          <w:tab w:val="left" w:pos="1635"/>
        </w:tabs>
        <w:jc w:val="center"/>
        <w:rPr>
          <w:b/>
          <w:bCs/>
          <w:sz w:val="16"/>
          <w:szCs w:val="16"/>
        </w:rPr>
      </w:pPr>
    </w:p>
    <w:p w:rsidR="00850257" w:rsidRDefault="00AF5BF7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850257" w:rsidRDefault="00850257"/>
    <w:p w:rsidR="00850257" w:rsidRDefault="00850257">
      <w:pPr>
        <w:rPr>
          <w:b/>
          <w:bCs/>
          <w:sz w:val="20"/>
        </w:rPr>
      </w:pPr>
    </w:p>
    <w:p w:rsidR="00850257" w:rsidRDefault="00AF5BF7">
      <w:pPr>
        <w:rPr>
          <w:b/>
          <w:bCs/>
          <w:sz w:val="22"/>
          <w:u w:val="single"/>
        </w:rPr>
      </w:pPr>
      <w:r>
        <w:rPr>
          <w:b/>
          <w:bCs/>
          <w:sz w:val="28"/>
          <w:szCs w:val="28"/>
        </w:rPr>
        <w:t>__</w:t>
      </w:r>
      <w:r w:rsidR="00854071" w:rsidRPr="00854071">
        <w:rPr>
          <w:b/>
          <w:bCs/>
          <w:sz w:val="28"/>
          <w:szCs w:val="28"/>
          <w:u w:val="single"/>
        </w:rPr>
        <w:t>01.10.2025</w:t>
      </w:r>
      <w:r>
        <w:rPr>
          <w:b/>
          <w:bCs/>
          <w:sz w:val="28"/>
          <w:szCs w:val="28"/>
        </w:rPr>
        <w:t>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Cs/>
          <w:sz w:val="28"/>
        </w:rPr>
        <w:t>№</w:t>
      </w:r>
      <w:r>
        <w:rPr>
          <w:bCs/>
          <w:sz w:val="28"/>
          <w:szCs w:val="28"/>
        </w:rPr>
        <w:t>__</w:t>
      </w:r>
      <w:r w:rsidR="00854071" w:rsidRPr="00854071">
        <w:rPr>
          <w:b/>
          <w:bCs/>
          <w:sz w:val="28"/>
          <w:szCs w:val="28"/>
          <w:u w:val="single"/>
        </w:rPr>
        <w:t>3917</w:t>
      </w:r>
      <w:r>
        <w:rPr>
          <w:bCs/>
          <w:sz w:val="28"/>
          <w:szCs w:val="28"/>
        </w:rPr>
        <w:t>___</w:t>
      </w:r>
    </w:p>
    <w:p w:rsidR="00850257" w:rsidRDefault="00850257">
      <w:pPr>
        <w:ind w:left="1416" w:firstLine="708"/>
        <w:jc w:val="center"/>
      </w:pPr>
    </w:p>
    <w:p w:rsidR="00850257" w:rsidRDefault="00D21E5B">
      <w:pPr>
        <w:rPr>
          <w:sz w:val="28"/>
        </w:rPr>
      </w:pPr>
      <w:r>
        <w:rPr>
          <w:noProof/>
        </w:rPr>
        <w:pict>
          <v:group id="_x0000_s1048" style="position:absolute;margin-left:135pt;margin-top:14.6pt;width:3in;height:8.95pt;z-index:1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">
            <v:group id="Группа 3" o:spid="_x0000_s1027" style="position:absolute;left:1701;top:3751;width:180;height:18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line id="Прямая соединительная линия 4" o:spid="_x0000_s1028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<v:line id="Прямая соединительная линия 5" o:spid="_x0000_s1029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  <v:group id="Группа 6" o:spid="_x0000_s1030" style="position:absolute;left:5301;top:3751;width:180;height:180;rotation:9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">
              <v:line id="Прямая соединительная линия 7" o:spid="_x0000_s1031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<v:line id="Прямая соединительная линия 8" o:spid="_x0000_s1032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</v:group>
          </v:group>
        </w:pict>
      </w:r>
    </w:p>
    <w:p w:rsidR="00850257" w:rsidRDefault="00AF5BF7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карты комплаенс-рисков,</w:t>
      </w:r>
    </w:p>
    <w:p w:rsidR="00850257" w:rsidRDefault="00AF5BF7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плана мероприятий по снижению комплаенс-рисков и ключевых показателей эффективности антимонопольного комплаенса в администрации городского округа город Выкса </w:t>
      </w:r>
    </w:p>
    <w:p w:rsidR="00850257" w:rsidRDefault="00AF5BF7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 на 2026 год</w:t>
      </w:r>
    </w:p>
    <w:p w:rsidR="00850257" w:rsidRDefault="00850257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</w:p>
    <w:p w:rsidR="00850257" w:rsidRDefault="00850257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</w:p>
    <w:p w:rsidR="00850257" w:rsidRDefault="00850257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</w:p>
    <w:p w:rsidR="00850257" w:rsidRDefault="00AF5BF7">
      <w:pPr>
        <w:tabs>
          <w:tab w:val="left" w:pos="1260"/>
          <w:tab w:val="left" w:pos="3210"/>
          <w:tab w:val="center" w:pos="5739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21 декабря 2017 года №618 «Об основных направлениях государственной политики по развитию конкуренции», распоряжением Правительства Российской Федерации от 18 октября 2018 года №2258-р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постановлением администрации городского округа город Выкса Нижегородской области от 29 ноября 2019 года №4325 «О создании и организации администрацией городского округа город Выкса Нижегородской области системы внутреннего обеспечения соответствия требованиям антимонопольного законодательства» администрация городского округа город Выкса Нижегородской области постановляет:</w:t>
      </w:r>
    </w:p>
    <w:p w:rsidR="00850257" w:rsidRDefault="00AF5BF7">
      <w:pPr>
        <w:tabs>
          <w:tab w:val="left" w:pos="1260"/>
          <w:tab w:val="left" w:pos="3210"/>
          <w:tab w:val="center" w:pos="5739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карту комплаенс-рисков в администрации городского округа город Выкса Нижегородской области на 2026 год согласно приложению 1 к настоящему постановлению.</w:t>
      </w:r>
    </w:p>
    <w:p w:rsidR="00850257" w:rsidRDefault="00AF5BF7">
      <w:pPr>
        <w:tabs>
          <w:tab w:val="left" w:pos="1260"/>
          <w:tab w:val="left" w:pos="3210"/>
          <w:tab w:val="center" w:pos="5739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Утвердить план мероприятий по снижению комплаенс-рисков в администрации городского округа город Выкса Нижегородской области на 2026 год согласно приложению 2 к настоящему постановлению.</w:t>
      </w:r>
    </w:p>
    <w:p w:rsidR="00850257" w:rsidRDefault="00AF5BF7">
      <w:pPr>
        <w:tabs>
          <w:tab w:val="left" w:pos="1260"/>
          <w:tab w:val="left" w:pos="3210"/>
          <w:tab w:val="center" w:pos="5739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ключевые показатели эффективности антимонопольного комплаенса в администрации городского округа город Выкса Нижегородской области на 2026 год согласно приложению 3 к настоящему постановлению.</w:t>
      </w:r>
    </w:p>
    <w:p w:rsidR="00850257" w:rsidRDefault="00AF5BF7">
      <w:pPr>
        <w:tabs>
          <w:tab w:val="left" w:pos="1260"/>
          <w:tab w:val="left" w:pos="3210"/>
          <w:tab w:val="center" w:pos="5739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850257" w:rsidRDefault="00850257">
      <w:pPr>
        <w:rPr>
          <w:sz w:val="28"/>
          <w:szCs w:val="28"/>
        </w:rPr>
      </w:pPr>
    </w:p>
    <w:p w:rsidR="00850257" w:rsidRDefault="00850257">
      <w:pPr>
        <w:rPr>
          <w:sz w:val="28"/>
          <w:szCs w:val="28"/>
        </w:rPr>
      </w:pPr>
    </w:p>
    <w:p w:rsidR="00850257" w:rsidRDefault="0085025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395"/>
        <w:gridCol w:w="532"/>
      </w:tblGrid>
      <w:tr w:rsidR="00850257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0257" w:rsidRDefault="00AF5B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850257" w:rsidRDefault="00AF5BF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0257" w:rsidRDefault="00850257">
            <w:pPr>
              <w:spacing w:line="360" w:lineRule="auto"/>
              <w:rPr>
                <w:sz w:val="28"/>
                <w:szCs w:val="28"/>
              </w:rPr>
            </w:pPr>
          </w:p>
          <w:p w:rsidR="00850257" w:rsidRDefault="00AF5BF7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Кочетков</w:t>
            </w:r>
          </w:p>
        </w:tc>
      </w:tr>
      <w:tr w:rsidR="00850257">
        <w:trPr>
          <w:trHeight w:val="2409"/>
        </w:trPr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0257" w:rsidRDefault="008502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0257" w:rsidRDefault="008502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0257" w:rsidRDefault="008502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0257" w:rsidRDefault="00850257">
      <w:pPr>
        <w:rPr>
          <w:sz w:val="28"/>
          <w:szCs w:val="28"/>
        </w:rPr>
        <w:sectPr w:rsidR="0085025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75"/>
        <w:gridCol w:w="5747"/>
      </w:tblGrid>
      <w:tr w:rsidR="00850257">
        <w:trPr>
          <w:trHeight w:val="2409"/>
          <w:jc w:val="right"/>
        </w:trPr>
        <w:tc>
          <w:tcPr>
            <w:tcW w:w="3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 w:clear="all"/>
            </w:r>
          </w:p>
        </w:tc>
        <w:tc>
          <w:tcPr>
            <w:tcW w:w="5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Выкса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:rsidR="00850257" w:rsidRDefault="00AF5BF7" w:rsidP="00854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</w:t>
            </w:r>
            <w:r w:rsidR="00854071" w:rsidRPr="00854071">
              <w:rPr>
                <w:sz w:val="28"/>
                <w:szCs w:val="28"/>
                <w:u w:val="single"/>
              </w:rPr>
              <w:t>01.10.2025</w:t>
            </w:r>
            <w:r>
              <w:rPr>
                <w:sz w:val="28"/>
                <w:szCs w:val="28"/>
              </w:rPr>
              <w:t>_№__</w:t>
            </w:r>
            <w:r w:rsidR="00854071" w:rsidRPr="00854071">
              <w:rPr>
                <w:sz w:val="28"/>
                <w:szCs w:val="28"/>
                <w:u w:val="single"/>
              </w:rPr>
              <w:t>3917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850257" w:rsidRDefault="00AF5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комплаенс-рисков в администрации городского округа город Выкса Нижегородской области на 2026 год</w:t>
      </w: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464"/>
        <w:gridCol w:w="3191"/>
        <w:gridCol w:w="2694"/>
        <w:gridCol w:w="2551"/>
        <w:gridCol w:w="1701"/>
        <w:gridCol w:w="2268"/>
      </w:tblGrid>
      <w:tr w:rsidR="00850257">
        <w:trPr>
          <w:jc w:val="center"/>
        </w:trPr>
        <w:tc>
          <w:tcPr>
            <w:tcW w:w="556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464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Уровень риска</w:t>
            </w:r>
          </w:p>
          <w:p w:rsidR="00850257" w:rsidRDefault="00850257">
            <w:pPr>
              <w:jc w:val="center"/>
              <w:rPr>
                <w:szCs w:val="28"/>
              </w:rPr>
            </w:pPr>
          </w:p>
        </w:tc>
        <w:tc>
          <w:tcPr>
            <w:tcW w:w="3191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Описание риска</w:t>
            </w:r>
          </w:p>
          <w:p w:rsidR="00850257" w:rsidRDefault="00850257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rStyle w:val="212pt"/>
              </w:rPr>
              <w:t>Причины возникновения рисков и их оценка</w:t>
            </w:r>
          </w:p>
        </w:tc>
        <w:tc>
          <w:tcPr>
            <w:tcW w:w="2551" w:type="dxa"/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rStyle w:val="212pt"/>
              </w:rPr>
              <w:t>Мероприятия по минимизации и устранению рисков</w:t>
            </w:r>
          </w:p>
        </w:tc>
        <w:tc>
          <w:tcPr>
            <w:tcW w:w="1701" w:type="dxa"/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rStyle w:val="212pt"/>
              </w:rPr>
              <w:t>Наличие (отсутствие) остаточных рисков</w:t>
            </w:r>
          </w:p>
        </w:tc>
        <w:tc>
          <w:tcPr>
            <w:tcW w:w="2268" w:type="dxa"/>
          </w:tcPr>
          <w:p w:rsidR="00850257" w:rsidRDefault="00AF5BF7">
            <w:pPr>
              <w:pStyle w:val="2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Вероятность</w:t>
            </w:r>
          </w:p>
          <w:p w:rsidR="00850257" w:rsidRDefault="00AF5BF7">
            <w:pPr>
              <w:pStyle w:val="2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повторного</w:t>
            </w:r>
          </w:p>
          <w:p w:rsidR="00850257" w:rsidRDefault="00AF5BF7">
            <w:pPr>
              <w:pStyle w:val="2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возникновения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rStyle w:val="212pt"/>
              </w:rPr>
              <w:t>рисков</w:t>
            </w:r>
          </w:p>
        </w:tc>
      </w:tr>
      <w:tr w:rsidR="00850257">
        <w:trPr>
          <w:jc w:val="center"/>
        </w:trPr>
        <w:tc>
          <w:tcPr>
            <w:tcW w:w="556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64" w:type="dxa"/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Низкий</w:t>
            </w:r>
          </w:p>
        </w:tc>
        <w:tc>
          <w:tcPr>
            <w:tcW w:w="3191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Установление положений, нарушающих требования антимонопольного законодательства, при подготовке проектов нормативных правовых актов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Наличие положений, способствующих нарушению антимонопольного законодательства в ранее принятых нормативных правовых актах</w:t>
            </w:r>
          </w:p>
        </w:tc>
        <w:tc>
          <w:tcPr>
            <w:tcW w:w="2694" w:type="dxa"/>
          </w:tcPr>
          <w:p w:rsidR="00850257" w:rsidRDefault="00AF5BF7">
            <w:pPr>
              <w:ind w:right="34"/>
              <w:jc w:val="center"/>
              <w:rPr>
                <w:rStyle w:val="212pt"/>
              </w:rPr>
            </w:pPr>
            <w:r>
              <w:rPr>
                <w:rStyle w:val="212pt"/>
              </w:rPr>
              <w:t>1) Нарушение порядка и сроков оказания</w:t>
            </w:r>
          </w:p>
          <w:p w:rsidR="00850257" w:rsidRDefault="00AF5BF7">
            <w:pPr>
              <w:ind w:right="34"/>
              <w:jc w:val="center"/>
              <w:rPr>
                <w:rStyle w:val="212pt"/>
              </w:rPr>
            </w:pPr>
            <w:r>
              <w:rPr>
                <w:rStyle w:val="212pt"/>
              </w:rPr>
              <w:t>услуг;</w:t>
            </w:r>
          </w:p>
          <w:p w:rsidR="00850257" w:rsidRDefault="00AF5BF7">
            <w:pPr>
              <w:ind w:right="34"/>
              <w:jc w:val="center"/>
              <w:rPr>
                <w:rStyle w:val="212pt"/>
              </w:rPr>
            </w:pPr>
            <w:r>
              <w:rPr>
                <w:rStyle w:val="212pt"/>
              </w:rPr>
              <w:t>2) Отсутствие достаточной квалификации</w:t>
            </w:r>
          </w:p>
          <w:p w:rsidR="00850257" w:rsidRDefault="00AF5BF7">
            <w:pPr>
              <w:ind w:right="34"/>
              <w:jc w:val="center"/>
              <w:rPr>
                <w:rStyle w:val="212pt"/>
              </w:rPr>
            </w:pPr>
            <w:r>
              <w:rPr>
                <w:rStyle w:val="212pt"/>
              </w:rPr>
              <w:t>сотрудников;</w:t>
            </w:r>
          </w:p>
          <w:p w:rsidR="00850257" w:rsidRDefault="00AF5BF7">
            <w:pPr>
              <w:ind w:right="34"/>
              <w:jc w:val="center"/>
              <w:rPr>
                <w:rStyle w:val="212pt"/>
              </w:rPr>
            </w:pPr>
            <w:r>
              <w:rPr>
                <w:rStyle w:val="212pt"/>
              </w:rPr>
              <w:t>3) Высокая нагрузка на сотрудников;</w:t>
            </w:r>
          </w:p>
          <w:p w:rsidR="00850257" w:rsidRDefault="00AF5BF7">
            <w:pPr>
              <w:ind w:right="34"/>
              <w:jc w:val="center"/>
              <w:rPr>
                <w:rStyle w:val="212pt"/>
              </w:rPr>
            </w:pPr>
            <w:r>
              <w:rPr>
                <w:rStyle w:val="212pt"/>
              </w:rPr>
              <w:t>4) Получение недостоверной информации для</w:t>
            </w:r>
          </w:p>
          <w:p w:rsidR="00850257" w:rsidRDefault="00AF5BF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rStyle w:val="212pt"/>
              </w:rPr>
              <w:t>принятия решения</w:t>
            </w:r>
          </w:p>
        </w:tc>
        <w:tc>
          <w:tcPr>
            <w:tcW w:w="2551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Соблюдение административных регламентов, порядков и положений при разработке проектов НПА</w:t>
            </w:r>
          </w:p>
          <w:p w:rsidR="00850257" w:rsidRDefault="00850257">
            <w:pPr>
              <w:jc w:val="center"/>
              <w:rPr>
                <w:sz w:val="18"/>
                <w:szCs w:val="28"/>
              </w:rPr>
            </w:pP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:rsidR="00850257" w:rsidRDefault="0085025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Отсутствует</w:t>
            </w:r>
          </w:p>
        </w:tc>
        <w:tc>
          <w:tcPr>
            <w:tcW w:w="2268" w:type="dxa"/>
          </w:tcPr>
          <w:p w:rsidR="00850257" w:rsidRDefault="00AF5BF7">
            <w:pPr>
              <w:jc w:val="center"/>
            </w:pPr>
            <w:r>
              <w:rPr>
                <w:szCs w:val="28"/>
              </w:rPr>
              <w:t>Отсутствует</w:t>
            </w:r>
          </w:p>
        </w:tc>
      </w:tr>
      <w:tr w:rsidR="00850257">
        <w:trPr>
          <w:jc w:val="center"/>
        </w:trPr>
        <w:tc>
          <w:tcPr>
            <w:tcW w:w="556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64" w:type="dxa"/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Низкий</w:t>
            </w:r>
          </w:p>
        </w:tc>
        <w:tc>
          <w:tcPr>
            <w:tcW w:w="3191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Нарушение антимонопольного законодательства при осуществлении закупок товаров, работ, услуг для </w:t>
            </w:r>
            <w:r>
              <w:rPr>
                <w:szCs w:val="28"/>
              </w:rPr>
              <w:lastRenderedPageBreak/>
              <w:t>обеспечения муниципальных нужд</w:t>
            </w:r>
          </w:p>
          <w:p w:rsidR="00850257" w:rsidRDefault="00850257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lastRenderedPageBreak/>
              <w:t>Недостаточный опыт применения законодательства о контрактной системе в сфере закупок</w:t>
            </w:r>
          </w:p>
        </w:tc>
        <w:tc>
          <w:tcPr>
            <w:tcW w:w="2551" w:type="dxa"/>
          </w:tcPr>
          <w:p w:rsidR="00850257" w:rsidRDefault="00AF5BF7">
            <w:pPr>
              <w:spacing w:line="274" w:lineRule="exact"/>
              <w:jc w:val="center"/>
              <w:rPr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Регулярное обучение сотрудников, повышение профессиональной квалификации сотрудников в сфере </w:t>
            </w:r>
            <w:r>
              <w:rPr>
                <w:rFonts w:eastAsia="Courier New"/>
                <w:lang w:bidi="ru-RU"/>
              </w:rPr>
              <w:lastRenderedPageBreak/>
              <w:t xml:space="preserve">закупок, членов комиссии по закупкам (самообразование, повышение </w:t>
            </w:r>
            <w:r>
              <w:rPr>
                <w:lang w:bidi="ru-RU"/>
              </w:rPr>
              <w:t>квалификации, образовательные мероприятия)</w:t>
            </w:r>
          </w:p>
          <w:p w:rsidR="00850257" w:rsidRDefault="00AF5BF7">
            <w:pPr>
              <w:spacing w:line="274" w:lineRule="exact"/>
              <w:jc w:val="center"/>
              <w:rPr>
                <w:sz w:val="28"/>
                <w:szCs w:val="28"/>
              </w:rPr>
            </w:pPr>
            <w:r>
              <w:rPr>
                <w:lang w:bidi="ru-RU"/>
              </w:rPr>
              <w:t xml:space="preserve">Изучение </w:t>
            </w:r>
            <w:r>
              <w:rPr>
                <w:rFonts w:eastAsia="Courier New"/>
                <w:lang w:bidi="ru-RU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1701" w:type="dxa"/>
          </w:tcPr>
          <w:p w:rsidR="00850257" w:rsidRDefault="00AF5BF7">
            <w:pPr>
              <w:jc w:val="center"/>
            </w:pPr>
            <w:r>
              <w:rPr>
                <w:szCs w:val="28"/>
              </w:rPr>
              <w:lastRenderedPageBreak/>
              <w:t>Отсутствует</w:t>
            </w:r>
          </w:p>
        </w:tc>
        <w:tc>
          <w:tcPr>
            <w:tcW w:w="2268" w:type="dxa"/>
          </w:tcPr>
          <w:p w:rsidR="00850257" w:rsidRDefault="00AF5BF7">
            <w:pPr>
              <w:jc w:val="center"/>
            </w:pPr>
            <w:r>
              <w:rPr>
                <w:szCs w:val="28"/>
              </w:rPr>
              <w:t>Отсутствует</w:t>
            </w:r>
          </w:p>
        </w:tc>
      </w:tr>
      <w:tr w:rsidR="00850257">
        <w:trPr>
          <w:jc w:val="center"/>
        </w:trPr>
        <w:tc>
          <w:tcPr>
            <w:tcW w:w="556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64" w:type="dxa"/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Низкий</w:t>
            </w:r>
          </w:p>
        </w:tc>
        <w:tc>
          <w:tcPr>
            <w:tcW w:w="3191" w:type="dxa"/>
          </w:tcPr>
          <w:p w:rsidR="00850257" w:rsidRDefault="00AF5BF7">
            <w:pPr>
              <w:widowControl w:val="0"/>
              <w:spacing w:after="280" w:line="274" w:lineRule="exact"/>
              <w:jc w:val="center"/>
              <w:rPr>
                <w:sz w:val="28"/>
                <w:szCs w:val="28"/>
                <w:lang w:bidi="ru-RU"/>
              </w:rPr>
            </w:pPr>
            <w:r>
              <w:rPr>
                <w:lang w:bidi="ru-RU"/>
              </w:rPr>
              <w:t>Оказание муниципальных услуг с нарушением установленного порядка (административного регламента)</w:t>
            </w:r>
          </w:p>
        </w:tc>
        <w:tc>
          <w:tcPr>
            <w:tcW w:w="2694" w:type="dxa"/>
          </w:tcPr>
          <w:p w:rsidR="00850257" w:rsidRDefault="00AF5B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1) Конфликт интересов;</w:t>
            </w:r>
          </w:p>
          <w:p w:rsidR="00850257" w:rsidRDefault="00AF5B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2) Отсутствие достаточной квалификации сотрудников;</w:t>
            </w:r>
          </w:p>
          <w:p w:rsidR="00850257" w:rsidRDefault="00AF5B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3) Нарушение требований порядка и сроков оказания муниципальных услуг;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lang w:bidi="ru-RU"/>
              </w:rPr>
              <w:t>4) Высокая нагрузка на сотрудников</w:t>
            </w:r>
          </w:p>
        </w:tc>
        <w:tc>
          <w:tcPr>
            <w:tcW w:w="2551" w:type="dxa"/>
          </w:tcPr>
          <w:p w:rsidR="00850257" w:rsidRDefault="00AF5BF7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t>Соблюдение административных регламентов; мониторинг и анализ выявленных нарушений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Информирование служащих и работников о формах и видах нарушений антимонопольного законодательства, допускаемых при оказании муниципальных услуг</w:t>
            </w:r>
          </w:p>
        </w:tc>
        <w:tc>
          <w:tcPr>
            <w:tcW w:w="1701" w:type="dxa"/>
          </w:tcPr>
          <w:p w:rsidR="00850257" w:rsidRDefault="00AF5BF7">
            <w:pPr>
              <w:jc w:val="center"/>
            </w:pPr>
            <w:r>
              <w:rPr>
                <w:szCs w:val="28"/>
              </w:rPr>
              <w:t>Отсутствует</w:t>
            </w:r>
          </w:p>
        </w:tc>
        <w:tc>
          <w:tcPr>
            <w:tcW w:w="2268" w:type="dxa"/>
          </w:tcPr>
          <w:p w:rsidR="00850257" w:rsidRDefault="00AF5BF7">
            <w:pPr>
              <w:jc w:val="center"/>
            </w:pPr>
            <w:r>
              <w:rPr>
                <w:szCs w:val="28"/>
              </w:rPr>
              <w:t>Отсутствует</w:t>
            </w:r>
          </w:p>
        </w:tc>
      </w:tr>
    </w:tbl>
    <w:p w:rsidR="00850257" w:rsidRDefault="00AF5BF7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75"/>
        <w:gridCol w:w="4732"/>
      </w:tblGrid>
      <w:tr w:rsidR="00850257">
        <w:trPr>
          <w:trHeight w:val="2409"/>
          <w:jc w:val="center"/>
        </w:trPr>
        <w:tc>
          <w:tcPr>
            <w:tcW w:w="8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 w:clear="all"/>
            </w:r>
          </w:p>
        </w:tc>
        <w:tc>
          <w:tcPr>
            <w:tcW w:w="4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0257" w:rsidRDefault="00AF5BF7">
            <w:pPr>
              <w:jc w:val="center"/>
            </w:pPr>
            <w:r>
              <w:rPr>
                <w:sz w:val="28"/>
                <w:szCs w:val="28"/>
              </w:rPr>
              <w:t>Приложение 2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Выкса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:rsidR="00850257" w:rsidRDefault="00AF5BF7" w:rsidP="00854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</w:t>
            </w:r>
            <w:r w:rsidR="00854071" w:rsidRPr="00854071">
              <w:rPr>
                <w:sz w:val="28"/>
                <w:szCs w:val="28"/>
                <w:u w:val="single"/>
              </w:rPr>
              <w:t>01.10.2025</w:t>
            </w:r>
            <w:r>
              <w:rPr>
                <w:sz w:val="28"/>
                <w:szCs w:val="28"/>
              </w:rPr>
              <w:t>_№__</w:t>
            </w:r>
            <w:r w:rsidR="00854071" w:rsidRPr="00854071">
              <w:rPr>
                <w:sz w:val="28"/>
                <w:szCs w:val="28"/>
                <w:u w:val="single"/>
              </w:rPr>
              <w:t>3917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850257" w:rsidRDefault="00AF5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снижению комплаенс-рисков в администрации городского округа город Выкса</w:t>
      </w:r>
    </w:p>
    <w:p w:rsidR="00850257" w:rsidRDefault="00AF5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 на 2026 год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247"/>
        <w:gridCol w:w="3118"/>
        <w:gridCol w:w="1797"/>
        <w:gridCol w:w="2392"/>
        <w:gridCol w:w="2392"/>
      </w:tblGrid>
      <w:tr w:rsidR="00850257">
        <w:trPr>
          <w:jc w:val="center"/>
        </w:trPr>
        <w:tc>
          <w:tcPr>
            <w:tcW w:w="540" w:type="dxa"/>
          </w:tcPr>
          <w:p w:rsidR="00850257" w:rsidRDefault="00AF5BF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247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rStyle w:val="212pt"/>
              </w:rPr>
              <w:t>Описание комплаенс-рисков</w:t>
            </w:r>
          </w:p>
        </w:tc>
        <w:tc>
          <w:tcPr>
            <w:tcW w:w="3118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t>Мероприятия по минимизации и устранению комплаенс-рисков</w:t>
            </w:r>
          </w:p>
        </w:tc>
        <w:tc>
          <w:tcPr>
            <w:tcW w:w="1666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t>Ответственный исполнитель</w:t>
            </w:r>
          </w:p>
        </w:tc>
        <w:tc>
          <w:tcPr>
            <w:tcW w:w="2392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t>Срок исполнения</w:t>
            </w:r>
          </w:p>
        </w:tc>
        <w:tc>
          <w:tcPr>
            <w:tcW w:w="2392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Показатель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результата</w:t>
            </w:r>
          </w:p>
        </w:tc>
      </w:tr>
      <w:tr w:rsidR="00850257">
        <w:trPr>
          <w:jc w:val="center"/>
        </w:trPr>
        <w:tc>
          <w:tcPr>
            <w:tcW w:w="540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47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Установление положений, нарушающих требования антимонопольного законодательства, при подготовке проектов нормативных правовых актов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Наличие положений, способствующих нарушению антимонопольного законодательства в ранее принятых нормативных правовых актах</w:t>
            </w:r>
          </w:p>
        </w:tc>
        <w:tc>
          <w:tcPr>
            <w:tcW w:w="3118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1) Проведение разъяснительной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(профилактической) работы с сотрудниками, в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т.ч. на семинарах, совещаниях, подготовка и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выдача памяток;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2) Проведение профилактических мероприятий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рамках противодействия коррупции;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3) Обучение сотрудников;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4) Обязательная предварительная правовая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экспертиза и согласование с заинтересованными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подразделениями администрации;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5) Информирование сотрудников о формах и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видах нарушений антимонопольного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законодательства.</w:t>
            </w:r>
          </w:p>
        </w:tc>
        <w:tc>
          <w:tcPr>
            <w:tcW w:w="1666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Управление по разработке и экспертизе нормативных правовых актов</w:t>
            </w:r>
          </w:p>
          <w:p w:rsidR="00850257" w:rsidRDefault="00850257">
            <w:pPr>
              <w:jc w:val="center"/>
              <w:rPr>
                <w:szCs w:val="28"/>
              </w:rPr>
            </w:pPr>
          </w:p>
          <w:p w:rsidR="00850257" w:rsidRDefault="00850257">
            <w:pPr>
              <w:jc w:val="center"/>
              <w:rPr>
                <w:szCs w:val="28"/>
              </w:rPr>
            </w:pP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кадровой работы</w:t>
            </w:r>
          </w:p>
        </w:tc>
        <w:tc>
          <w:tcPr>
            <w:tcW w:w="2392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реже одного раза в год </w:t>
            </w:r>
          </w:p>
          <w:p w:rsidR="00850257" w:rsidRDefault="00850257">
            <w:pPr>
              <w:jc w:val="center"/>
              <w:rPr>
                <w:szCs w:val="28"/>
              </w:rPr>
            </w:pP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 подготовке проекта нормативного правового. При проведении экспертиз действующих нормативных правовых актов </w:t>
            </w:r>
          </w:p>
        </w:tc>
        <w:tc>
          <w:tcPr>
            <w:tcW w:w="2392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Издание нормативных правовых актов без нарушений антимонопольного законодательства</w:t>
            </w:r>
          </w:p>
        </w:tc>
      </w:tr>
      <w:tr w:rsidR="00850257">
        <w:trPr>
          <w:jc w:val="center"/>
        </w:trPr>
        <w:tc>
          <w:tcPr>
            <w:tcW w:w="540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47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3118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1) Проведение разъяснительной (профилактической) работы с сотрудниками, в т.ч. на семинарах, совещаниях, подготовка и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выдача памяток;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2) Проведение профилактических мероприятий в рамках противодействия коррупции;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3) Обучение сотрудников; 4) Информирование служащих и работников о формах и видах нарушений антимонопольного законодательства, допускаемых при проведении конкурентных процедур.</w:t>
            </w:r>
          </w:p>
        </w:tc>
        <w:tc>
          <w:tcPr>
            <w:tcW w:w="1666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Отдел закупок</w:t>
            </w:r>
          </w:p>
          <w:p w:rsidR="00850257" w:rsidRDefault="00850257">
            <w:pPr>
              <w:jc w:val="center"/>
              <w:rPr>
                <w:szCs w:val="28"/>
              </w:rPr>
            </w:pP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по разработке и экспертизе нормативных правовых актов</w:t>
            </w:r>
          </w:p>
          <w:p w:rsidR="00850257" w:rsidRDefault="00850257">
            <w:pPr>
              <w:jc w:val="center"/>
              <w:rPr>
                <w:szCs w:val="28"/>
              </w:rPr>
            </w:pPr>
          </w:p>
        </w:tc>
        <w:tc>
          <w:tcPr>
            <w:tcW w:w="2392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реже одного раза в год </w:t>
            </w:r>
          </w:p>
          <w:p w:rsidR="00850257" w:rsidRDefault="00850257">
            <w:pPr>
              <w:jc w:val="center"/>
              <w:rPr>
                <w:szCs w:val="28"/>
              </w:rPr>
            </w:pP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подготовке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документации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 закупке,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проекта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муниципального контракта.</w:t>
            </w:r>
          </w:p>
        </w:tc>
        <w:tc>
          <w:tcPr>
            <w:tcW w:w="2392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Соблюдение требований антимонопольного законодательства при проведении закупок</w:t>
            </w:r>
          </w:p>
        </w:tc>
      </w:tr>
      <w:tr w:rsidR="00850257">
        <w:trPr>
          <w:jc w:val="center"/>
        </w:trPr>
        <w:tc>
          <w:tcPr>
            <w:tcW w:w="540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47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lang w:bidi="ru-RU"/>
              </w:rPr>
              <w:t>Оказание муниципальных услуг с нарушением установленного порядка (административного регламента)</w:t>
            </w:r>
          </w:p>
        </w:tc>
        <w:tc>
          <w:tcPr>
            <w:tcW w:w="3118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1) Проведение профилактических мероприятий, в т.ч. в рамках работы по противодействию коррупции;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2) Рассмотрение заявочных материалов на предмет их </w:t>
            </w:r>
            <w:r>
              <w:rPr>
                <w:szCs w:val="28"/>
              </w:rPr>
              <w:lastRenderedPageBreak/>
              <w:t>соответствия требованиям, предъявляемым к содержанию пакета заявочных материалов в соответствии с регламентами;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3) Мониторинг законодательства, регулирующего правоотношения, в целях оптимизации процедуры оказания муниципальных услуг;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4) Информирование служащих и работников о формах и видах нарушений антимонопольного законодательства, допускаемых при оказании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муниципальных услуг;</w:t>
            </w:r>
          </w:p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5) Обеспечение надлежащей экспертизы документов в рамках оказания муниципальных услуг</w:t>
            </w:r>
          </w:p>
        </w:tc>
        <w:tc>
          <w:tcPr>
            <w:tcW w:w="1666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Управление по разработке и экспертизе нормативных правовых актов</w:t>
            </w:r>
          </w:p>
          <w:p w:rsidR="00850257" w:rsidRDefault="00850257">
            <w:pPr>
              <w:jc w:val="center"/>
              <w:rPr>
                <w:szCs w:val="28"/>
              </w:rPr>
            </w:pPr>
          </w:p>
        </w:tc>
        <w:tc>
          <w:tcPr>
            <w:tcW w:w="2392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t>Постоянно в рамках деятельности по оказанию муниципальных услуги</w:t>
            </w:r>
          </w:p>
        </w:tc>
        <w:tc>
          <w:tcPr>
            <w:tcW w:w="2392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t>Оказание муниципальных услуг без нарушений</w:t>
            </w:r>
          </w:p>
        </w:tc>
      </w:tr>
    </w:tbl>
    <w:p w:rsidR="00850257" w:rsidRDefault="00AF5BF7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33"/>
        <w:gridCol w:w="4874"/>
      </w:tblGrid>
      <w:tr w:rsidR="00850257">
        <w:trPr>
          <w:trHeight w:val="2409"/>
          <w:jc w:val="center"/>
        </w:trPr>
        <w:tc>
          <w:tcPr>
            <w:tcW w:w="8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 w:clear="all"/>
            </w:r>
          </w:p>
        </w:tc>
        <w:tc>
          <w:tcPr>
            <w:tcW w:w="4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Выкса</w:t>
            </w:r>
          </w:p>
          <w:p w:rsidR="00850257" w:rsidRDefault="00AF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:rsidR="00850257" w:rsidRDefault="00AF5BF7" w:rsidP="00854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</w:t>
            </w:r>
            <w:bookmarkStart w:id="0" w:name="_GoBack"/>
            <w:r w:rsidR="00854071" w:rsidRPr="00854071">
              <w:rPr>
                <w:sz w:val="28"/>
                <w:szCs w:val="28"/>
                <w:u w:val="single"/>
              </w:rPr>
              <w:t>01.10.2025</w:t>
            </w:r>
            <w:bookmarkEnd w:id="0"/>
            <w:r>
              <w:rPr>
                <w:sz w:val="28"/>
                <w:szCs w:val="28"/>
              </w:rPr>
              <w:t>_№_</w:t>
            </w:r>
            <w:r w:rsidR="00854071" w:rsidRPr="00854071">
              <w:rPr>
                <w:sz w:val="28"/>
                <w:szCs w:val="28"/>
                <w:u w:val="single"/>
              </w:rPr>
              <w:t>3917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850257" w:rsidRDefault="00AF5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Ключевые показатели эффективности антимонопольного комплаенса в администрации городского округа</w:t>
      </w:r>
    </w:p>
    <w:p w:rsidR="00850257" w:rsidRDefault="00AF5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Выкса Нижегородской области на 2026 год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206"/>
        <w:gridCol w:w="3009"/>
        <w:gridCol w:w="5245"/>
      </w:tblGrid>
      <w:tr w:rsidR="00850257">
        <w:trPr>
          <w:jc w:val="center"/>
        </w:trPr>
        <w:tc>
          <w:tcPr>
            <w:tcW w:w="540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5206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 эффективности антимонопольного комплаенса</w:t>
            </w:r>
          </w:p>
        </w:tc>
        <w:tc>
          <w:tcPr>
            <w:tcW w:w="3009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rStyle w:val="212pt"/>
              </w:rPr>
              <w:t>Срок</w:t>
            </w:r>
          </w:p>
        </w:tc>
        <w:tc>
          <w:tcPr>
            <w:tcW w:w="5245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rStyle w:val="212pt"/>
              </w:rPr>
              <w:t>Ключевой показатель эффективности (%)</w:t>
            </w:r>
          </w:p>
        </w:tc>
      </w:tr>
      <w:tr w:rsidR="00850257">
        <w:trPr>
          <w:jc w:val="center"/>
        </w:trPr>
        <w:tc>
          <w:tcPr>
            <w:tcW w:w="540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06" w:type="dxa"/>
          </w:tcPr>
          <w:p w:rsidR="00850257" w:rsidRDefault="00AF5BF7">
            <w:pPr>
              <w:spacing w:before="100" w:beforeAutospacing="1" w:after="100" w:afterAutospacing="1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коэффициент снижения количества нарушений антимонопольного законодательства со стороны администрации</w:t>
            </w:r>
          </w:p>
        </w:tc>
        <w:tc>
          <w:tcPr>
            <w:tcW w:w="3009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5245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850257">
        <w:trPr>
          <w:jc w:val="center"/>
        </w:trPr>
        <w:tc>
          <w:tcPr>
            <w:tcW w:w="540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06" w:type="dxa"/>
          </w:tcPr>
          <w:p w:rsidR="00850257" w:rsidRDefault="00AF5BF7">
            <w:pPr>
              <w:spacing w:before="100" w:beforeAutospacing="1" w:after="100" w:afterAutospacing="1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доля проектов нормативных правовых актов администрации, в которых выявлены риски нарушения антимонопольного законодательства</w:t>
            </w:r>
          </w:p>
        </w:tc>
        <w:tc>
          <w:tcPr>
            <w:tcW w:w="3009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5245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850257">
        <w:trPr>
          <w:jc w:val="center"/>
        </w:trPr>
        <w:tc>
          <w:tcPr>
            <w:tcW w:w="540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06" w:type="dxa"/>
          </w:tcPr>
          <w:p w:rsidR="00850257" w:rsidRDefault="00AF5BF7">
            <w:pPr>
              <w:spacing w:before="100" w:beforeAutospacing="1" w:after="100" w:afterAutospacing="1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доля нормативных правовых актов администрации, в которых выявлены риски нарушения антимонопольного законодательства</w:t>
            </w:r>
          </w:p>
        </w:tc>
        <w:tc>
          <w:tcPr>
            <w:tcW w:w="3009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5245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850257">
        <w:trPr>
          <w:jc w:val="center"/>
        </w:trPr>
        <w:tc>
          <w:tcPr>
            <w:tcW w:w="540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06" w:type="dxa"/>
          </w:tcPr>
          <w:p w:rsidR="00850257" w:rsidRDefault="00AF5BF7">
            <w:pPr>
              <w:spacing w:before="100" w:beforeAutospacing="1" w:after="100" w:afterAutospacing="1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количество сотрудников администрации, прошедших обучающие мероприятия (семинары, круглые столы) по антимонопольному законодательству</w:t>
            </w:r>
          </w:p>
        </w:tc>
        <w:tc>
          <w:tcPr>
            <w:tcW w:w="3009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5245" w:type="dxa"/>
          </w:tcPr>
          <w:p w:rsidR="00850257" w:rsidRDefault="00AF5B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</w:tbl>
    <w:p w:rsidR="00850257" w:rsidRDefault="00850257">
      <w:pPr>
        <w:rPr>
          <w:sz w:val="2"/>
          <w:szCs w:val="28"/>
        </w:rPr>
      </w:pPr>
    </w:p>
    <w:sectPr w:rsidR="0085025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E5B" w:rsidRDefault="00D21E5B">
      <w:r>
        <w:separator/>
      </w:r>
    </w:p>
  </w:endnote>
  <w:endnote w:type="continuationSeparator" w:id="0">
    <w:p w:rsidR="00D21E5B" w:rsidRDefault="00D2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E5B" w:rsidRDefault="00D21E5B">
      <w:r>
        <w:separator/>
      </w:r>
    </w:p>
  </w:footnote>
  <w:footnote w:type="continuationSeparator" w:id="0">
    <w:p w:rsidR="00D21E5B" w:rsidRDefault="00D2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A099C"/>
    <w:multiLevelType w:val="hybridMultilevel"/>
    <w:tmpl w:val="A5C88948"/>
    <w:lvl w:ilvl="0" w:tplc="39143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C9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0698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808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6A3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CAB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8B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4C4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CA1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257"/>
    <w:rsid w:val="005B1C19"/>
    <w:rsid w:val="00850257"/>
    <w:rsid w:val="00854071"/>
    <w:rsid w:val="00AF5BF7"/>
    <w:rsid w:val="00D2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Прямая соединительная линия 4"/>
        <o:r id="V:Rule2" type="connector" idref="#Прямая соединительная линия 7"/>
        <o:r id="V:Rule3" type="connector" idref="#Прямая соединительная линия 5"/>
        <o:r id="V:Rule4" type="connector" idref="#Прямая соединительная линия 8"/>
      </o:rules>
    </o:shapelayout>
  </w:shapeDefaults>
  <w:decimalSymbol w:val=","/>
  <w:listSeparator w:val=";"/>
  <w14:docId w14:val="7CBB4F04"/>
  <w15:docId w15:val="{732FCF1F-86FA-4C0B-8200-8F2E20AD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540"/>
      <w:jc w:val="both"/>
    </w:pPr>
    <w:rPr>
      <w:sz w:val="28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_"/>
    <w:link w:val="26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Милованова Надежда Юрьевна</cp:lastModifiedBy>
  <cp:revision>3</cp:revision>
  <dcterms:created xsi:type="dcterms:W3CDTF">2025-10-01T14:28:00Z</dcterms:created>
  <dcterms:modified xsi:type="dcterms:W3CDTF">2025-10-02T05:37:00Z</dcterms:modified>
  <cp:version>1048576</cp:version>
</cp:coreProperties>
</file>